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B8D" w:rsidRDefault="00611059">
      <w:pPr>
        <w:pStyle w:val="TextSylabusBold"/>
        <w:spacing w:before="0" w:after="0"/>
        <w:jc w:val="center"/>
        <w:rPr>
          <w:i w:val="0"/>
        </w:rPr>
      </w:pPr>
      <w:r>
        <w:rPr>
          <w:rFonts w:eastAsia="Calibri"/>
          <w:bCs/>
          <w:i w:val="0"/>
        </w:rPr>
        <w:t>KARTA PRZEDMIOTU (SYLABUS)</w:t>
      </w:r>
      <w:hyperlink w:anchor="_1._Proszę_wypełnić">
        <w:r>
          <w:rPr>
            <w:rStyle w:val="Internetlink"/>
            <w:rFonts w:eastAsia="Calibri"/>
            <w:bCs/>
            <w:i w:val="0"/>
            <w:spacing w:val="30"/>
            <w:sz w:val="22"/>
            <w:vertAlign w:val="superscript"/>
          </w:rPr>
          <w:t>1</w:t>
        </w:r>
      </w:hyperlink>
    </w:p>
    <w:p w:rsidR="00510B8D" w:rsidRDefault="00611059">
      <w:pPr>
        <w:pStyle w:val="Nagwek1"/>
      </w:pPr>
      <w:bookmarkStart w:id="0" w:name="_OPIS_PRZEDMIOTU"/>
      <w:bookmarkEnd w:id="0"/>
      <w:r>
        <w:rPr>
          <w:rFonts w:eastAsia="Calibri"/>
        </w:rPr>
        <w:t>OPIS PRZEDMIOTU</w:t>
      </w:r>
    </w:p>
    <w:tbl>
      <w:tblPr>
        <w:tblW w:w="1077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1722"/>
        <w:gridCol w:w="1333"/>
        <w:gridCol w:w="1455"/>
        <w:gridCol w:w="1858"/>
        <w:gridCol w:w="844"/>
        <w:gridCol w:w="1581"/>
      </w:tblGrid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</w:rPr>
              <w:t>Kod 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ind w:left="113" w:right="113"/>
              <w:jc w:val="center"/>
            </w:pPr>
            <w:r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5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i/>
                <w:lang w:eastAsia="en-US"/>
              </w:rPr>
              <w:t>Etyka lekarska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0912/UTH/WNMiNoZ/ST-NST/X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rPr>
                <w:lang w:val="en-US"/>
              </w:rPr>
            </w:pPr>
          </w:p>
        </w:tc>
        <w:tc>
          <w:tcPr>
            <w:tcW w:w="5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spacing w:line="276" w:lineRule="auto"/>
              <w:jc w:val="center"/>
              <w:rPr>
                <w:lang w:val="en-GB"/>
              </w:rPr>
            </w:pPr>
            <w:r>
              <w:rPr>
                <w:rFonts w:eastAsia="Calibri"/>
                <w:b/>
                <w:i/>
                <w:lang w:val="en-GB" w:eastAsia="en-US"/>
              </w:rPr>
              <w:t>Medical ethics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10B8D" w:rsidRDefault="00611059">
            <w:pPr>
              <w:pStyle w:val="OpisSyl"/>
            </w:pPr>
            <w:r>
              <w:t>Język wykładowy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Polski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Rok akademicki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DD2C1F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510B8D">
        <w:trPr>
          <w:trHeight w:hRule="exact" w:val="282"/>
          <w:jc w:val="center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Kierunek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Lekarski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w zakresie</w:t>
            </w:r>
          </w:p>
        </w:tc>
        <w:tc>
          <w:tcPr>
            <w:tcW w:w="707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510B8D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Poziom 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xtSylSrod"/>
            </w:pPr>
            <w:r>
              <w:t>Studia jednolite magisterskie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Profil 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xtSylSrod"/>
            </w:pPr>
            <w:proofErr w:type="spellStart"/>
            <w:r>
              <w:t>Ogólnoakademicki</w:t>
            </w:r>
            <w:proofErr w:type="spellEnd"/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Forma studiów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xtSylSrod"/>
            </w:pPr>
            <w:r>
              <w:t>Stacjonarne/Niestacjonarne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Semestr/ semestry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xtSylSrod"/>
            </w:pPr>
            <w:r>
              <w:t>III zimowy</w:t>
            </w:r>
          </w:p>
        </w:tc>
      </w:tr>
      <w:tr w:rsidR="00510B8D">
        <w:trPr>
          <w:trHeight w:hRule="exact" w:val="327"/>
          <w:jc w:val="center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Przynależność do grupy zajęć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xtSylSrod"/>
            </w:pPr>
            <w:r>
              <w:t>Moduł D: Nauki behawioralne i społeczne z elementami profesjonalizmu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Status przedmiotu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xtSylSrod"/>
            </w:pPr>
            <w:r>
              <w:t>Obowiązkowy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Formy realizacji zajęć dydaktycznych, wymiar, punkty ECTS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ECTS"/>
              <w:jc w:val="left"/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ECTS"/>
              <w:jc w:val="left"/>
            </w:pPr>
            <w:r>
              <w:rPr>
                <w:szCs w:val="20"/>
              </w:rPr>
              <w:t>Wykład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ECTS"/>
            </w:pPr>
            <w:r>
              <w:t>15 h</w:t>
            </w:r>
          </w:p>
        </w:tc>
        <w:tc>
          <w:tcPr>
            <w:tcW w:w="2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ECTS"/>
            </w:pPr>
            <w:r>
              <w:t>2 ECTS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ECTS"/>
              <w:jc w:val="left"/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ECTS"/>
              <w:jc w:val="left"/>
            </w:pPr>
            <w:r>
              <w:rPr>
                <w:szCs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ECTS"/>
            </w:pPr>
            <w:r>
              <w:t>15 h</w:t>
            </w:r>
          </w:p>
        </w:tc>
        <w:tc>
          <w:tcPr>
            <w:tcW w:w="2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510B8D">
            <w:pPr>
              <w:pStyle w:val="ECTS"/>
              <w:jc w:val="left"/>
            </w:pPr>
          </w:p>
        </w:tc>
      </w:tr>
      <w:tr w:rsidR="00510B8D">
        <w:trPr>
          <w:trHeight w:val="454"/>
          <w:jc w:val="center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Powiązanie przedmiotu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z profilem studiów</w:t>
            </w:r>
            <w:r>
              <w:rPr>
                <w:rFonts w:eastAsia="Calibri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TekstSylabus"/>
            </w:pPr>
            <w:r>
              <w:t>Przedmiot związany z prowadzoną w Uczelni działalnością naukową i uwzględnia udział studentów w zajęciach przygotowujących do prowadzenia działalności naukowej lub udział w tej działalności.</w:t>
            </w:r>
          </w:p>
          <w:p w:rsidR="00510B8D" w:rsidRDefault="00510B8D">
            <w:pPr>
              <w:pStyle w:val="Standard"/>
              <w:widowControl w:val="0"/>
              <w:rPr>
                <w:rFonts w:eastAsia="Calibri"/>
                <w:i/>
                <w:color w:val="C0504D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tcMar>
              <w:top w:w="28" w:type="dxa"/>
              <w:bottom w:w="28" w:type="dxa"/>
            </w:tcMar>
            <w:vAlign w:val="center"/>
          </w:tcPr>
          <w:p w:rsidR="00510B8D" w:rsidRDefault="00611059">
            <w:pPr>
              <w:pStyle w:val="ECTS"/>
            </w:pPr>
            <w:r>
              <w:t>1 ECTS</w:t>
            </w:r>
          </w:p>
        </w:tc>
      </w:tr>
      <w:tr w:rsidR="00510B8D">
        <w:trPr>
          <w:trHeight w:val="454"/>
          <w:jc w:val="center"/>
        </w:trPr>
        <w:tc>
          <w:tcPr>
            <w:tcW w:w="19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z dyscypliną</w:t>
            </w:r>
            <w:hyperlink w:anchor="_2._Powiązania_z">
              <w:r>
                <w:rPr>
                  <w:rStyle w:val="Internetlink"/>
                  <w:rFonts w:eastAsia="Calibri"/>
                  <w:b/>
                  <w:szCs w:val="20"/>
                  <w:vertAlign w:val="superscript"/>
                </w:rPr>
                <w:t>3</w:t>
              </w:r>
            </w:hyperlink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TekstSylabus"/>
            </w:pPr>
            <w:r>
              <w:t>Nauki medyczne</w:t>
            </w:r>
          </w:p>
          <w:p w:rsidR="00510B8D" w:rsidRDefault="00510B8D">
            <w:pPr>
              <w:pStyle w:val="Bezodstpw"/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10B8D" w:rsidRDefault="00DB215A">
            <w:pPr>
              <w:pStyle w:val="ECTS"/>
            </w:pPr>
            <w:r>
              <w:t>2</w:t>
            </w:r>
            <w:bookmarkStart w:id="1" w:name="_GoBack"/>
            <w:bookmarkEnd w:id="1"/>
            <w:r w:rsidR="00611059">
              <w:t xml:space="preserve"> ECTS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Forma nauczania</w:t>
            </w:r>
            <w:r>
              <w:rPr>
                <w:vertAlign w:val="superscript"/>
              </w:rPr>
              <w:t>4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TekstSylabus"/>
            </w:pPr>
            <w:r>
              <w:t>Tradycyjna: zajęcia w siedzibie Uczelni</w:t>
            </w:r>
          </w:p>
        </w:tc>
      </w:tr>
      <w:tr w:rsidR="00510B8D">
        <w:trPr>
          <w:trHeight w:val="551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Wymagania wstępne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Bezodstpw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>Zgodnie z postępowaniem rekrutacyjnym.</w:t>
            </w:r>
          </w:p>
        </w:tc>
      </w:tr>
      <w:tr w:rsidR="00510B8D">
        <w:trPr>
          <w:trHeight w:hRule="exact" w:val="323"/>
          <w:jc w:val="center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Jednostka prowadząca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 w:themeFill="background1" w:themeFillShade="E6"/>
            <w:vAlign w:val="center"/>
          </w:tcPr>
          <w:p w:rsidR="00510B8D" w:rsidRDefault="00611059">
            <w:pPr>
              <w:pStyle w:val="TekstSylabus"/>
            </w:pPr>
            <w:r>
              <w:t>Wydział Nauk Medycznych i Nauk o Zdrowiu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Koordynator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TekstSylabus"/>
            </w:pPr>
            <w:r>
              <w:t>Dr hab. n. hum. Zdzisław Jezierski, prof. UTH Rad.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 xml:space="preserve">Adres strony internetowej </w:t>
            </w:r>
            <w:proofErr w:type="spellStart"/>
            <w:r>
              <w:t>pjo</w:t>
            </w:r>
            <w:proofErr w:type="spellEnd"/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10B8D" w:rsidRDefault="00611059">
            <w:pPr>
              <w:pStyle w:val="TekstSylabus"/>
            </w:pPr>
            <w:r>
              <w:t>https://wnminoz.uniwersytetradom.pl/</w:t>
            </w:r>
          </w:p>
        </w:tc>
      </w:tr>
      <w:tr w:rsidR="00510B8D">
        <w:trPr>
          <w:trHeight w:val="454"/>
          <w:jc w:val="center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Adres e-mail koordynatora</w:t>
            </w:r>
          </w:p>
        </w:tc>
        <w:tc>
          <w:tcPr>
            <w:tcW w:w="7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TekstSylabus"/>
            </w:pPr>
            <w:r>
              <w:t>z.jezierski@uthrad.pl</w:t>
            </w:r>
          </w:p>
        </w:tc>
      </w:tr>
    </w:tbl>
    <w:p w:rsidR="00510B8D" w:rsidRDefault="00611059">
      <w:pPr>
        <w:sectPr w:rsidR="00510B8D">
          <w:pgSz w:w="11906" w:h="16838"/>
          <w:pgMar w:top="567" w:right="567" w:bottom="567" w:left="567" w:header="0" w:footer="0" w:gutter="0"/>
          <w:pgNumType w:start="22"/>
          <w:cols w:space="708"/>
          <w:formProt w:val="0"/>
          <w:docGrid w:linePitch="100" w:charSpace="4096"/>
        </w:sectPr>
      </w:pPr>
      <w:r>
        <w:br w:type="page"/>
      </w:r>
    </w:p>
    <w:p w:rsidR="00510B8D" w:rsidRDefault="00611059">
      <w:pPr>
        <w:pStyle w:val="Nagwek1"/>
        <w:ind w:right="424"/>
      </w:pPr>
      <w:bookmarkStart w:id="2" w:name="_EFEKTY_UCZENIA_SIĘ,"/>
      <w:bookmarkEnd w:id="2"/>
      <w:r>
        <w:rPr>
          <w:rFonts w:eastAsia="Calibri"/>
        </w:rPr>
        <w:lastRenderedPageBreak/>
        <w:t>EFEKTY UCZENIA SIĘ, TREŚCI PROGRAMOWE, REALIZACJA ZAJĘĆ DYDAKTYCZNYCH, WERYFIKACJA EFEKTÓW UCZENIA SIĘ</w:t>
      </w:r>
    </w:p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8792"/>
      </w:tblGrid>
      <w:tr w:rsidR="00510B8D">
        <w:trPr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bookmarkStart w:id="3" w:name="Celksztalcenia"/>
            <w:bookmarkEnd w:id="3"/>
            <w:r>
              <w:t>Cel kształcenia: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D" w:rsidRDefault="00510B8D">
            <w:pPr>
              <w:pStyle w:val="Bezodstpw"/>
              <w:ind w:left="0"/>
              <w:rPr>
                <w:color w:val="1D1B11" w:themeColor="background2" w:themeShade="1A"/>
              </w:rPr>
            </w:pPr>
          </w:p>
          <w:p w:rsidR="00510B8D" w:rsidRDefault="00611059">
            <w:pPr>
              <w:pStyle w:val="ListaSylabus"/>
            </w:pPr>
            <w:r>
              <w:t>Zapoznanie studentów z podstawami współczesnej etyki medycznej (bioetyki) oraz elementami prawa medycznego.</w:t>
            </w:r>
          </w:p>
          <w:p w:rsidR="00510B8D" w:rsidRDefault="00611059">
            <w:pPr>
              <w:pStyle w:val="ListaSylabus"/>
            </w:pPr>
            <w:r>
              <w:t>Zapoznanie studentów z etycznymi, społecznymi i prawnymi uwarunkowaniami wykonywania zawodu lekarza.</w:t>
            </w:r>
          </w:p>
          <w:p w:rsidR="00510B8D" w:rsidRDefault="00611059">
            <w:pPr>
              <w:pStyle w:val="ListaSylabus"/>
            </w:pPr>
            <w:r>
              <w:t>Nauczenie ich zasad komunikowania się z pacjentem i jego rodziną w atmosferze zaufania, z uwzględnieniem potrzeb pacjenta oraz przekazywania niekorzystnych informacji.</w:t>
            </w:r>
          </w:p>
          <w:p w:rsidR="00510B8D" w:rsidRDefault="00611059">
            <w:pPr>
              <w:pStyle w:val="ListaSylabus"/>
            </w:pPr>
            <w:r>
              <w:t>Uzyskanie kompetencji do kierowania się dobrem pacjenta, przestrzegania tajemnicy lekarskiej oraz praw pacjenta.</w:t>
            </w:r>
          </w:p>
        </w:tc>
      </w:tr>
      <w:tr w:rsidR="00510B8D">
        <w:trPr>
          <w:trHeight w:val="868"/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bookmarkStart w:id="4" w:name="Wyklady"/>
            <w:bookmarkEnd w:id="4"/>
            <w:r>
              <w:t>Treści programowe:</w:t>
            </w:r>
          </w:p>
          <w:p w:rsidR="00510B8D" w:rsidRDefault="00611059">
            <w:pPr>
              <w:pStyle w:val="OpisSyl"/>
            </w:pPr>
            <w:r>
              <w:t>Wykłady</w:t>
            </w:r>
          </w:p>
          <w:p w:rsidR="00510B8D" w:rsidRDefault="00510B8D">
            <w:pPr>
              <w:pStyle w:val="OpisSyl"/>
            </w:pP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D" w:rsidRDefault="00611059">
            <w:pPr>
              <w:pStyle w:val="Standard"/>
              <w:widowControl w:val="0"/>
              <w:spacing w:before="120"/>
              <w:rPr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Style w:val="TextSylabusBoldZnak"/>
              </w:rPr>
              <w:t>Wykłady: 15 h prowadzonych jako</w:t>
            </w:r>
            <w:r>
              <w:rPr>
                <w:bCs/>
                <w:color w:val="C00000"/>
              </w:rPr>
              <w:t xml:space="preserve"> </w:t>
            </w:r>
            <w:r>
              <w:rPr>
                <w:bCs/>
                <w:color w:val="262626" w:themeColor="text1" w:themeTint="D9"/>
              </w:rPr>
              <w:t>7</w:t>
            </w:r>
            <w:r>
              <w:rPr>
                <w:b/>
                <w:bCs/>
                <w:i/>
                <w:color w:val="262626" w:themeColor="text1" w:themeTint="D9"/>
                <w:sz w:val="20"/>
                <w:szCs w:val="20"/>
              </w:rPr>
              <w:t xml:space="preserve"> wykładów po 2 h. oraz 1 w. - 1 h.</w:t>
            </w:r>
          </w:p>
          <w:p w:rsidR="00510B8D" w:rsidRDefault="00611059">
            <w:pPr>
              <w:pStyle w:val="ListaSylabus"/>
              <w:numPr>
                <w:ilvl w:val="0"/>
                <w:numId w:val="15"/>
              </w:numPr>
              <w:ind w:left="397" w:hanging="284"/>
            </w:pPr>
            <w:r>
              <w:t>Etyka: podstawowe dystynkcje pojęciowe.</w:t>
            </w:r>
          </w:p>
          <w:p w:rsidR="00510B8D" w:rsidRDefault="00611059">
            <w:pPr>
              <w:pStyle w:val="ListaSylabus"/>
            </w:pPr>
            <w:r>
              <w:t>Podstawowe pojęcia etyki oraz deontologii ogólnej i lekarskiej.</w:t>
            </w:r>
          </w:p>
          <w:p w:rsidR="00510B8D" w:rsidRDefault="00611059">
            <w:pPr>
              <w:pStyle w:val="ListaSylabus"/>
            </w:pPr>
            <w:r>
              <w:t>Kodeks etyki lekarskiej. Zbiór zasad etyczno-deontologicznych polskiego lekarza, Europejska Konwencja Bioetyczna.</w:t>
            </w:r>
          </w:p>
          <w:p w:rsidR="00510B8D" w:rsidRDefault="00611059">
            <w:pPr>
              <w:pStyle w:val="ListaSylabus"/>
            </w:pPr>
            <w:r>
              <w:t>Regulacje dotyczące etyki zawodowej lekarza w Polsce i na świecie.</w:t>
            </w:r>
          </w:p>
          <w:p w:rsidR="00510B8D" w:rsidRDefault="00611059">
            <w:pPr>
              <w:pStyle w:val="ListaSylabus"/>
            </w:pPr>
            <w:r>
              <w:t>Prawa pacjenta. Szczególne zasady praw osób małoletnich, niepełnosprawnych, ubezwłasnowolnionych.</w:t>
            </w:r>
          </w:p>
          <w:p w:rsidR="00510B8D" w:rsidRDefault="00611059">
            <w:pPr>
              <w:pStyle w:val="ListaSylabus"/>
            </w:pPr>
            <w:r>
              <w:t>Etyczne aspekty eksperymentów medycznych — eksperyment leczniczy i badawczy, etyczne zasady prowadzenia eksperymentu medycznego.</w:t>
            </w:r>
          </w:p>
          <w:p w:rsidR="00510B8D" w:rsidRDefault="00611059">
            <w:pPr>
              <w:pStyle w:val="ListaSylabus"/>
            </w:pPr>
            <w:r>
              <w:t>Regulacje dotyczące etyki zawodowej lekarza w Polsce i na świecie.</w:t>
            </w:r>
          </w:p>
          <w:p w:rsidR="00510B8D" w:rsidRDefault="00611059">
            <w:pPr>
              <w:pStyle w:val="ListaSylabus"/>
            </w:pPr>
            <w:r>
              <w:t>Tajemnica zawodowa w medycynie.</w:t>
            </w:r>
          </w:p>
          <w:p w:rsidR="00510B8D" w:rsidRDefault="00510B8D">
            <w:pPr>
              <w:pStyle w:val="Standard"/>
              <w:widowControl w:val="0"/>
              <w:tabs>
                <w:tab w:val="left" w:pos="539"/>
              </w:tabs>
              <w:rPr>
                <w:i/>
                <w:sz w:val="20"/>
                <w:szCs w:val="20"/>
              </w:rPr>
            </w:pPr>
          </w:p>
        </w:tc>
      </w:tr>
    </w:tbl>
    <w:p w:rsidR="00510B8D" w:rsidRDefault="00611059">
      <w:pPr>
        <w:pStyle w:val="Standard"/>
      </w:pPr>
      <w:bookmarkStart w:id="5" w:name="Ćwiczenia"/>
      <w:bookmarkEnd w:id="5"/>
      <w:r>
        <w:br w:type="page"/>
      </w:r>
    </w:p>
    <w:p w:rsidR="00510B8D" w:rsidRDefault="00510B8D"/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8792"/>
      </w:tblGrid>
      <w:tr w:rsidR="00510B8D">
        <w:trPr>
          <w:trHeight w:val="1403"/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bookmarkStart w:id="6" w:name="Seminaria"/>
            <w:bookmarkEnd w:id="6"/>
            <w:r>
              <w:t>Treści programowe:</w:t>
            </w:r>
          </w:p>
          <w:p w:rsidR="00510B8D" w:rsidRDefault="00611059">
            <w:pPr>
              <w:pStyle w:val="OpisSyl"/>
            </w:pPr>
            <w:r>
              <w:t>Seminaria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D" w:rsidRDefault="00611059">
            <w:pPr>
              <w:pStyle w:val="Akapitzlist"/>
              <w:widowControl w:val="0"/>
              <w:tabs>
                <w:tab w:val="left" w:pos="4073"/>
              </w:tabs>
              <w:spacing w:after="120"/>
              <w:ind w:left="0"/>
              <w:rPr>
                <w:color w:val="1D1B11" w:themeColor="background2" w:themeShade="1A"/>
              </w:rPr>
            </w:pPr>
            <w:r>
              <w:rPr>
                <w:rStyle w:val="TextSylabusBoldZnak"/>
              </w:rPr>
              <w:t xml:space="preserve">Seminaria: 15 h prowadzonych </w:t>
            </w:r>
            <w:r>
              <w:rPr>
                <w:rStyle w:val="TextSylabusBoldZnak"/>
                <w:color w:val="1D1B11" w:themeColor="background2" w:themeShade="1A"/>
              </w:rPr>
              <w:t>jako</w:t>
            </w:r>
            <w:r>
              <w:rPr>
                <w:b/>
                <w:i/>
                <w:color w:val="1D1B11" w:themeColor="background2" w:themeShade="1A"/>
                <w:sz w:val="20"/>
                <w:szCs w:val="20"/>
                <w:lang w:eastAsia="ru-RU"/>
              </w:rPr>
              <w:t xml:space="preserve"> 7 spotkań po 2 h. oraz 1 spotkanie 1 h.</w:t>
            </w:r>
          </w:p>
          <w:p w:rsidR="00510B8D" w:rsidRDefault="00611059">
            <w:pPr>
              <w:pStyle w:val="ListaSylabus"/>
              <w:numPr>
                <w:ilvl w:val="0"/>
                <w:numId w:val="16"/>
              </w:numPr>
              <w:ind w:left="397" w:hanging="284"/>
            </w:pPr>
            <w:r>
              <w:t>Etyczne aspekty relacji lekarz-pacjent — autonomia i godność pacjenta, informacja i zgoda poinformowanego.</w:t>
            </w:r>
          </w:p>
          <w:p w:rsidR="00510B8D" w:rsidRDefault="00611059">
            <w:pPr>
              <w:pStyle w:val="ListaSylabus"/>
            </w:pPr>
            <w:r>
              <w:t>Tajemnica lekarska, lojalność wobec pacjenta, prawo lekarza do odmowy leczenia.</w:t>
            </w:r>
          </w:p>
          <w:p w:rsidR="00510B8D" w:rsidRDefault="00611059">
            <w:pPr>
              <w:pStyle w:val="ListaSylabus"/>
            </w:pPr>
            <w:r>
              <w:t>Problematyka śmierci: tradycyjna definicja śmierci, definicja śmierci mózgowej, śmierć organizmu a śmierć człowieka.</w:t>
            </w:r>
          </w:p>
          <w:p w:rsidR="00510B8D" w:rsidRDefault="00611059">
            <w:pPr>
              <w:pStyle w:val="ListaSylabus"/>
            </w:pPr>
            <w:r>
              <w:t>Etyczne aspekty pobierania tkanek i narządów do transplantacji.</w:t>
            </w:r>
          </w:p>
          <w:p w:rsidR="00510B8D" w:rsidRDefault="00611059">
            <w:pPr>
              <w:pStyle w:val="ListaSylabus"/>
            </w:pPr>
            <w:r>
              <w:t>Eutanazja i hospicja.</w:t>
            </w:r>
          </w:p>
          <w:p w:rsidR="00510B8D" w:rsidRDefault="00611059">
            <w:pPr>
              <w:pStyle w:val="ListaSylabus"/>
            </w:pPr>
            <w:r>
              <w:t>Etyczne aspekty walki z bólem. Etyczne aspekty leczenia paliatywnego. Leczenie hospicyjne z punktu widzenia etyki.</w:t>
            </w:r>
          </w:p>
          <w:p w:rsidR="00510B8D" w:rsidRDefault="00611059">
            <w:pPr>
              <w:pStyle w:val="ListaSylabus"/>
            </w:pPr>
            <w:r>
              <w:t>Etyczna problematyka związana z reanimacją i uporczywą terapią — wartość i jakość życia ludzkiego. Wskazania do reanimacji w świetle KEL, kryteria śmierci, pojęcie stanu terminalnego. Problem moralnego prawa odstąpienia od reanimacji i uporczywej terapii.</w:t>
            </w:r>
          </w:p>
          <w:p w:rsidR="00510B8D" w:rsidRDefault="00611059">
            <w:pPr>
              <w:pStyle w:val="ListaSylabus"/>
              <w:rPr>
                <w:rFonts w:eastAsia="Calibri"/>
              </w:rPr>
            </w:pPr>
            <w:r>
              <w:t>Podstawy prawne prowadzenia i udostępniania dokumentacji medycznej.</w:t>
            </w:r>
          </w:p>
          <w:p w:rsidR="00510B8D" w:rsidRDefault="00510B8D">
            <w:pPr>
              <w:pStyle w:val="Standard"/>
              <w:widowControl w:val="0"/>
              <w:tabs>
                <w:tab w:val="left" w:pos="4073"/>
              </w:tabs>
              <w:rPr>
                <w:sz w:val="20"/>
                <w:szCs w:val="20"/>
              </w:rPr>
            </w:pPr>
          </w:p>
        </w:tc>
      </w:tr>
    </w:tbl>
    <w:p w:rsidR="00510B8D" w:rsidRDefault="00611059">
      <w:pPr>
        <w:pStyle w:val="Bezodstpw"/>
        <w:ind w:left="0"/>
      </w:pPr>
      <w:r>
        <w:rPr>
          <w:highlight w:val="yellow"/>
        </w:rPr>
        <w:t xml:space="preserve"> </w:t>
      </w:r>
    </w:p>
    <w:p w:rsidR="00510B8D" w:rsidRDefault="00510B8D"/>
    <w:p w:rsidR="00510B8D" w:rsidRDefault="00611059">
      <w:r>
        <w:br w:type="page"/>
      </w:r>
    </w:p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8792"/>
      </w:tblGrid>
      <w:tr w:rsidR="00510B8D">
        <w:trPr>
          <w:trHeight w:val="919"/>
          <w:jc w:val="center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  <w:pageBreakBefore/>
            </w:pPr>
            <w:bookmarkStart w:id="7" w:name="Metody"/>
            <w:bookmarkEnd w:id="7"/>
            <w:r>
              <w:lastRenderedPageBreak/>
              <w:t>Metody dydaktyczne:</w:t>
            </w:r>
            <w:r>
              <w:rPr>
                <w:vertAlign w:val="superscript"/>
              </w:rPr>
              <w:t>6</w:t>
            </w:r>
          </w:p>
        </w:tc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D" w:rsidRDefault="00611059">
            <w:pPr>
              <w:pStyle w:val="Listatytuly"/>
              <w:numPr>
                <w:ilvl w:val="0"/>
                <w:numId w:val="17"/>
              </w:numPr>
            </w:pPr>
            <w:r>
              <w:t>Wykład</w:t>
            </w:r>
          </w:p>
          <w:p w:rsidR="00510B8D" w:rsidRDefault="00611059">
            <w:pPr>
              <w:pStyle w:val="Tekst2Sylabus"/>
            </w:pPr>
            <w:r>
              <w:t>Wykład konwersatoryjny z wykorzystaniem technik multimedialnych,  z elementami dyskusji.</w:t>
            </w:r>
          </w:p>
          <w:p w:rsidR="00510B8D" w:rsidRDefault="00510B8D">
            <w:pPr>
              <w:pStyle w:val="Tekst2Sylabus"/>
            </w:pPr>
          </w:p>
          <w:p w:rsidR="00510B8D" w:rsidRDefault="00611059">
            <w:pPr>
              <w:pStyle w:val="Listatytuly"/>
              <w:numPr>
                <w:ilvl w:val="0"/>
                <w:numId w:val="18"/>
              </w:numPr>
              <w:ind w:left="397" w:hanging="284"/>
            </w:pPr>
            <w:r>
              <w:t>Seminaria</w:t>
            </w:r>
          </w:p>
          <w:p w:rsidR="00510B8D" w:rsidRDefault="00611059">
            <w:pPr>
              <w:pStyle w:val="Tekst2Sylabus"/>
            </w:pPr>
            <w:r>
              <w:t>Prezentacje multimedialne wybranych przez studentów zagadnień programowych oraz dyskusja nad nimi.</w:t>
            </w:r>
          </w:p>
          <w:p w:rsidR="00510B8D" w:rsidRDefault="00611059">
            <w:pPr>
              <w:pStyle w:val="Tekst2Sylabus"/>
            </w:pPr>
            <w:r>
              <w:t>Aktywny udział studentów, odpowiadających na pytania prowadzącego zajęcia.</w:t>
            </w:r>
          </w:p>
          <w:p w:rsidR="00510B8D" w:rsidRDefault="00510B8D">
            <w:pPr>
              <w:pStyle w:val="Tekst2Sylabus"/>
            </w:pPr>
          </w:p>
          <w:p w:rsidR="00510B8D" w:rsidRDefault="00611059">
            <w:pPr>
              <w:pStyle w:val="Listatytuly"/>
              <w:numPr>
                <w:ilvl w:val="0"/>
                <w:numId w:val="19"/>
              </w:numPr>
              <w:ind w:left="397" w:hanging="284"/>
            </w:pPr>
            <w:r>
              <w:t>Praca samodzielna</w:t>
            </w:r>
          </w:p>
          <w:p w:rsidR="00510B8D" w:rsidRDefault="00611059">
            <w:pPr>
              <w:pStyle w:val="Akapitzlist"/>
              <w:widowControl w:val="0"/>
              <w:tabs>
                <w:tab w:val="left" w:pos="4583"/>
              </w:tabs>
              <w:ind w:left="510"/>
            </w:pPr>
            <w:r>
              <w:rPr>
                <w:rFonts w:eastAsia="Calibri"/>
                <w:i/>
                <w:color w:val="1D1B11" w:themeColor="background2" w:themeShade="1A"/>
                <w:sz w:val="20"/>
                <w:szCs w:val="20"/>
                <w:lang w:eastAsia="en-US"/>
              </w:rPr>
              <w:t>Studiowanie podstawowych aktów prawnych regulujących aspekty etyczne w medycynie.</w:t>
            </w:r>
          </w:p>
        </w:tc>
      </w:tr>
    </w:tbl>
    <w:p w:rsidR="00510B8D" w:rsidRDefault="00611059">
      <w:pPr>
        <w:pStyle w:val="Standard"/>
      </w:pPr>
      <w:r>
        <w:br w:type="page"/>
      </w:r>
    </w:p>
    <w:p w:rsidR="00510B8D" w:rsidRDefault="00510B8D">
      <w:pPr>
        <w:pStyle w:val="Standard"/>
      </w:pPr>
    </w:p>
    <w:tbl>
      <w:tblPr>
        <w:tblW w:w="10773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055"/>
        <w:gridCol w:w="8718"/>
      </w:tblGrid>
      <w:tr w:rsidR="00510B8D">
        <w:trPr>
          <w:jc w:val="center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bookmarkStart w:id="8" w:name="Zaliczenie"/>
            <w:bookmarkEnd w:id="8"/>
            <w:r>
              <w:t>Rygor zaliczenia, kryteria oceny osiągniętych efektów uczenia się:</w:t>
            </w:r>
          </w:p>
        </w:tc>
        <w:tc>
          <w:tcPr>
            <w:tcW w:w="8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D" w:rsidRDefault="00611059">
            <w:pPr>
              <w:pStyle w:val="TekstSylabus"/>
            </w:pPr>
            <w:r>
              <w:t>Warunkiem zaliczenia przedmiotu jest osiągnięcie wszystkich wymaganych dla przedmiotu efektów uczenia się. Uzyskanie pozytywnych ocen ze wszystkich form zajęć wchodzących w skład przedmiotu jest równoznaczne z jego zaliczeniem i zdobyciem przez studenta przyporządkowanej przedmiotowi liczby punktów ECTS</w:t>
            </w:r>
            <w:r>
              <w:rPr>
                <w:color w:val="C0504D"/>
              </w:rPr>
              <w:t>.</w:t>
            </w:r>
          </w:p>
          <w:p w:rsidR="00510B8D" w:rsidRDefault="00510B8D">
            <w:pPr>
              <w:pStyle w:val="Standard"/>
              <w:widowControl w:val="0"/>
              <w:tabs>
                <w:tab w:val="left" w:pos="4073"/>
              </w:tabs>
              <w:jc w:val="both"/>
              <w:rPr>
                <w:i/>
                <w:color w:val="C0504D"/>
                <w:sz w:val="20"/>
                <w:szCs w:val="20"/>
              </w:rPr>
            </w:pPr>
          </w:p>
          <w:p w:rsidR="00510B8D" w:rsidRDefault="00611059">
            <w:pPr>
              <w:pStyle w:val="Listatytuly"/>
              <w:numPr>
                <w:ilvl w:val="0"/>
                <w:numId w:val="20"/>
              </w:numPr>
            </w:pPr>
            <w:r>
              <w:t>Wykład</w:t>
            </w:r>
          </w:p>
          <w:p w:rsidR="00510B8D" w:rsidRDefault="00611059">
            <w:pPr>
              <w:pStyle w:val="Tekst2Sylabus"/>
            </w:pPr>
            <w:r>
              <w:t>Na ocenę z wykładu składa się ocena z: testu sprawdzającego efekty kształcenia w zakresie wiedzy</w:t>
            </w:r>
          </w:p>
          <w:p w:rsidR="00510B8D" w:rsidRDefault="00611059">
            <w:pPr>
              <w:pStyle w:val="Tekst2Sylabus"/>
            </w:pPr>
            <w:r>
              <w:t>(80%), aktywności na wykładach (20%o).</w:t>
            </w:r>
          </w:p>
          <w:p w:rsidR="00510B8D" w:rsidRDefault="00510B8D">
            <w:pPr>
              <w:pStyle w:val="Tekst2Sylabus"/>
            </w:pPr>
          </w:p>
          <w:p w:rsidR="00510B8D" w:rsidRDefault="00611059">
            <w:pPr>
              <w:pStyle w:val="Listatytuly"/>
              <w:numPr>
                <w:ilvl w:val="0"/>
                <w:numId w:val="21"/>
              </w:numPr>
            </w:pPr>
            <w:r>
              <w:t>Seminaria</w:t>
            </w:r>
          </w:p>
          <w:p w:rsidR="00510B8D" w:rsidRDefault="00611059">
            <w:pPr>
              <w:pStyle w:val="Tekst2Sylabus"/>
            </w:pPr>
            <w:r>
              <w:t>Na ocenę składa się: ocena zakresu wiedzy i umiejętności z każdego tematu seminarium (80%), frekwencja na zajęciach (100%).</w:t>
            </w:r>
          </w:p>
          <w:p w:rsidR="00510B8D" w:rsidRDefault="00510B8D">
            <w:pPr>
              <w:pStyle w:val="Tekst2Sylabus"/>
            </w:pPr>
          </w:p>
          <w:p w:rsidR="00510B8D" w:rsidRDefault="00611059">
            <w:pPr>
              <w:pStyle w:val="Listatytuly"/>
              <w:numPr>
                <w:ilvl w:val="0"/>
                <w:numId w:val="22"/>
              </w:numPr>
            </w:pPr>
            <w:r>
              <w:t>Egzamin</w:t>
            </w:r>
          </w:p>
          <w:p w:rsidR="00510B8D" w:rsidRDefault="00611059">
            <w:pPr>
              <w:pStyle w:val="Tekst2Sylabus"/>
              <w:rPr>
                <w:bCs/>
              </w:rPr>
            </w:pPr>
            <w:r>
              <w:rPr>
                <w:bCs/>
              </w:rPr>
              <w:t>Przedmiot kończy się egzaminem ustnym. Uzyskanie oceny pozytywnej z seminariów w semestrze jest warunkiem koniecznym przystąpienia do egzaminu.</w:t>
            </w:r>
          </w:p>
          <w:p w:rsidR="00510B8D" w:rsidRDefault="00611059">
            <w:pPr>
              <w:pStyle w:val="Tekst2Sylabus"/>
              <w:rPr>
                <w:bCs/>
              </w:rPr>
            </w:pPr>
            <w:r>
              <w:rPr>
                <w:bCs/>
              </w:rPr>
              <w:t>Egzamin polega na odpowiedzi ustnej na trzy wylosowane pytania z pośród 50 zagadnień wcześniej przekazanych studentom.</w:t>
            </w:r>
          </w:p>
          <w:p w:rsidR="00510B8D" w:rsidRDefault="00611059">
            <w:pPr>
              <w:pStyle w:val="Tekst2Sylabus"/>
              <w:rPr>
                <w:bCs/>
              </w:rPr>
            </w:pPr>
            <w:r>
              <w:rPr>
                <w:bCs/>
              </w:rPr>
              <w:t>Dla studentów, którzy uzyskali ocenę bardzo dobrą na zajęciach seminaryjnych, przewidywany jest termin zerowy.</w:t>
            </w:r>
          </w:p>
          <w:p w:rsidR="00510B8D" w:rsidRDefault="00510B8D">
            <w:pPr>
              <w:pStyle w:val="Tekst2Sylabus"/>
              <w:ind w:left="0"/>
              <w:rPr>
                <w:b/>
              </w:rPr>
            </w:pPr>
          </w:p>
          <w:p w:rsidR="00510B8D" w:rsidRDefault="00510B8D">
            <w:pPr>
              <w:pStyle w:val="Tekst2Sylabus"/>
              <w:rPr>
                <w:b/>
                <w:color w:val="0D0D0D" w:themeColor="text1" w:themeTint="F2"/>
                <w:highlight w:val="yellow"/>
              </w:rPr>
            </w:pPr>
          </w:p>
          <w:p w:rsidR="00510B8D" w:rsidRDefault="00510B8D">
            <w:pPr>
              <w:pStyle w:val="Tekst2Sylabus"/>
            </w:pPr>
          </w:p>
        </w:tc>
      </w:tr>
      <w:tr w:rsidR="00510B8D">
        <w:trPr>
          <w:trHeight w:val="1292"/>
          <w:jc w:val="center"/>
        </w:trPr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  <w:ind w:left="0"/>
            </w:pPr>
            <w:r>
              <w:t>Sposób obliczania oceny końcowej:</w:t>
            </w:r>
          </w:p>
        </w:tc>
        <w:tc>
          <w:tcPr>
            <w:tcW w:w="8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D" w:rsidRDefault="00510B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B8D" w:rsidRDefault="00510B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B8D" w:rsidRDefault="00510B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B8D" w:rsidRDefault="0061105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Średnia ocen z egzaminu ustnego oraz zajęć seminaryjnych stanowi ocenę końcową z przedmiotu.</w:t>
            </w:r>
          </w:p>
          <w:p w:rsidR="00510B8D" w:rsidRDefault="00510B8D">
            <w:pPr>
              <w:pStyle w:val="TekstSylabus"/>
            </w:pPr>
          </w:p>
          <w:p w:rsidR="00510B8D" w:rsidRDefault="00510B8D">
            <w:pPr>
              <w:pStyle w:val="Bezodstpw"/>
            </w:pPr>
          </w:p>
          <w:p w:rsidR="00510B8D" w:rsidRDefault="00510B8D">
            <w:pPr>
              <w:pStyle w:val="PunktorySylabus"/>
              <w:numPr>
                <w:ilvl w:val="0"/>
                <w:numId w:val="0"/>
              </w:numPr>
              <w:ind w:left="737"/>
            </w:pPr>
          </w:p>
        </w:tc>
      </w:tr>
    </w:tbl>
    <w:p w:rsidR="00510B8D" w:rsidRDefault="00510B8D">
      <w:pPr>
        <w:pStyle w:val="Standard"/>
      </w:pPr>
    </w:p>
    <w:p w:rsidR="00510B8D" w:rsidRDefault="00611059">
      <w:pPr>
        <w:suppressAutoHyphens w:val="0"/>
        <w:rPr>
          <w:rFonts w:ascii="Times New Roman" w:eastAsia="Times New Roman" w:hAnsi="Times New Roman" w:cs="Times New Roman"/>
          <w:szCs w:val="24"/>
          <w:lang w:eastAsia="pl-PL"/>
        </w:rPr>
      </w:pPr>
      <w:r>
        <w:br w:type="page"/>
      </w:r>
    </w:p>
    <w:p w:rsidR="00510B8D" w:rsidRDefault="00510B8D">
      <w:pPr>
        <w:pStyle w:val="Bezodstpw"/>
      </w:pPr>
    </w:p>
    <w:tbl>
      <w:tblPr>
        <w:tblW w:w="10773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35"/>
        <w:gridCol w:w="3786"/>
        <w:gridCol w:w="1277"/>
        <w:gridCol w:w="1417"/>
        <w:gridCol w:w="1559"/>
        <w:gridCol w:w="1699"/>
      </w:tblGrid>
      <w:tr w:rsidR="00510B8D">
        <w:trPr>
          <w:jc w:val="center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szCs w:val="22"/>
              </w:rPr>
            </w:pPr>
            <w:r>
              <w:rPr>
                <w:rFonts w:eastAsia="Batang"/>
                <w:b/>
                <w:szCs w:val="22"/>
              </w:rPr>
              <w:t xml:space="preserve">Efekty uczenia się </w:t>
            </w:r>
            <w:r>
              <w:rPr>
                <w:rFonts w:eastAsia="Calibri"/>
                <w:b/>
                <w:szCs w:val="22"/>
              </w:rPr>
              <w:t>dla przedmiotu w odniesieniu do efektów kierunkowych i formy zajęć</w:t>
            </w:r>
            <w:r>
              <w:rPr>
                <w:rFonts w:eastAsia="Calibri"/>
                <w:b/>
                <w:szCs w:val="22"/>
                <w:vertAlign w:val="superscript"/>
              </w:rPr>
              <w:t>7</w:t>
            </w: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szCs w:val="22"/>
              </w:rPr>
            </w:pPr>
            <w:r>
              <w:rPr>
                <w:rFonts w:eastAsia="Calibri"/>
                <w:b/>
                <w:szCs w:val="22"/>
              </w:rPr>
              <w:t>Metody weryfikacji efektów uczenia się</w:t>
            </w:r>
          </w:p>
        </w:tc>
      </w:tr>
      <w:tr w:rsidR="00510B8D">
        <w:trPr>
          <w:trHeight w:val="1239"/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ind w:left="-89"/>
              <w:jc w:val="center"/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Kierunkowy efekt uczenia się (KEU) i stopień osiągnięcia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sprawdzania</w:t>
            </w:r>
          </w:p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="00510B8D">
        <w:trPr>
          <w:trHeight w:val="23"/>
          <w:jc w:val="center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jc w:val="center"/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510B8D">
            <w:pPr>
              <w:pStyle w:val="Standard"/>
              <w:widowControl w:val="0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i/>
                <w:color w:val="00206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510B8D">
            <w:pPr>
              <w:pStyle w:val="Standard"/>
              <w:widowControl w:val="0"/>
            </w:pP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ind w:right="11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Zna i rozumie główne pojęcia, teorie, zasady i reguły etyczne służące, jako ogólne ramy właściwego interpretowania i analizowania zagadnień moralno-medycznych.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D.W16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trHeight w:val="778"/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Zna zasady altruizmu i odpowiedzialności klinicznej i ma świadomość zasad funkcjonowania zespołu terapeutycznego.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D.W16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Zna normy odnoszące się do praw pacjenta.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D.W17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Zna zasady pracy w grupie oraz -rozumie kulturowe, etniczne i narodowe uwarunkowania </w:t>
            </w:r>
            <w:proofErr w:type="spellStart"/>
            <w:r>
              <w:rPr>
                <w:rFonts w:eastAsia="Calibri"/>
                <w:i/>
                <w:sz w:val="20"/>
                <w:szCs w:val="20"/>
                <w:lang w:eastAsia="en-US"/>
              </w:rPr>
              <w:t>zachowań</w:t>
            </w:r>
            <w:proofErr w:type="spellEnd"/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lekarskich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D.W18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Zna prawa pacjenta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D.W19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</w:t>
            </w:r>
          </w:p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 działaniach zawodowych przestrzega wzorców etycznych. Rozumie i uzasadnia ponadczasowe lekarskie normy etyczne oraz stosuje wzory postępowania zawodowego i badawczego w medycynie.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D.U13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Posiada zdolność rozpoznawania etycznych wymiarów decyzji medycznych i odróżniania aspektów /aktualnych i normatywnych.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D.U14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Przestrzega praw pacjenta w tym: prawa do ochrony danych osobowych, do intymności, do informacji o stanie zdrowia, do wyrażenia świadomej zgody na leczenie łub odstąpienie od niego oraz do godnej śmierci.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D.U15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Wykazuje odpowiedzialność za podnoszenie swoich kwalifikacji i przekazywanie wiedzy innym.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D.U16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 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U5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Umie informować  pacjenta o  celu,  przebiegu  i  ewentualnym  ryzyku  proponowanych działań diagnostycznych lub terapeutycznych oraz uzyskać jego świadomą zgodę na podjęcie tych działań;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D.U17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Ocena aktywności,</w:t>
            </w:r>
          </w:p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Kontrola udziału w zajęciach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Egzamin, 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Ciągła obserwacja przez nauczyciela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Kierowania się dobrem pacjenta.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Ciągła obserwacja przez nauczyciela</w:t>
            </w:r>
          </w:p>
        </w:tc>
      </w:tr>
      <w:tr w:rsidR="00510B8D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b/>
                <w:color w:val="1D1B11" w:themeColor="background2" w:themeShade="1A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1D1B11" w:themeColor="background2" w:themeShade="1A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color w:val="1D1B11" w:themeColor="background2" w:themeShade="1A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1D1B11" w:themeColor="background2" w:themeShade="1A"/>
                <w:sz w:val="20"/>
                <w:szCs w:val="20"/>
                <w:lang w:eastAsia="en-US"/>
              </w:rPr>
              <w:t>Przestrzegania tajemnicy lekarskiej i praw pacjenta.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K.K3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Seminarim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Ciągła obserwacja nauczyciela</w:t>
            </w:r>
          </w:p>
        </w:tc>
      </w:tr>
      <w:tr w:rsidR="00510B8D">
        <w:trPr>
          <w:trHeight w:val="18"/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K4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Podejmowania działań wobec pacjenta w oparciu o zasady etyczne, ze świadomością społecznych uwarunkowań i ograniczeń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wynikających z choroby.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K.K4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Wykład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Egzamin</w:t>
            </w:r>
          </w:p>
          <w:p w:rsidR="00510B8D" w:rsidRDefault="00611059">
            <w:pPr>
              <w:pStyle w:val="Standard"/>
              <w:widowControl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Ciągła obserwacja nauczyciela</w:t>
            </w:r>
          </w:p>
        </w:tc>
      </w:tr>
    </w:tbl>
    <w:p w:rsidR="00510B8D" w:rsidRDefault="00510B8D">
      <w:pPr>
        <w:pStyle w:val="Bezodstpw"/>
        <w:ind w:left="0"/>
      </w:pPr>
      <w:bookmarkStart w:id="9" w:name="KEU"/>
      <w:bookmarkEnd w:id="9"/>
    </w:p>
    <w:p w:rsidR="00510B8D" w:rsidRDefault="00510B8D"/>
    <w:tbl>
      <w:tblPr>
        <w:tblW w:w="10773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773"/>
      </w:tblGrid>
      <w:tr w:rsidR="00510B8D">
        <w:trPr>
          <w:trHeight w:val="332"/>
          <w:jc w:val="center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pageBreakBefore/>
              <w:widowControl w:val="0"/>
              <w:jc w:val="center"/>
              <w:rPr>
                <w:szCs w:val="22"/>
              </w:rPr>
            </w:pPr>
            <w:bookmarkStart w:id="10" w:name="Literatura"/>
            <w:bookmarkEnd w:id="10"/>
            <w:r>
              <w:rPr>
                <w:rFonts w:eastAsia="Calibri"/>
                <w:b/>
                <w:szCs w:val="22"/>
                <w:lang w:eastAsia="en-US"/>
              </w:rPr>
              <w:lastRenderedPageBreak/>
              <w:t>Literatura i pomoce naukowe</w:t>
            </w:r>
            <w:r>
              <w:rPr>
                <w:rFonts w:eastAsia="Calibri"/>
                <w:b/>
                <w:szCs w:val="22"/>
                <w:vertAlign w:val="superscript"/>
                <w:lang w:eastAsia="en-US"/>
              </w:rPr>
              <w:t>8</w:t>
            </w:r>
          </w:p>
        </w:tc>
      </w:tr>
      <w:tr w:rsidR="00510B8D">
        <w:trPr>
          <w:trHeight w:val="404"/>
          <w:jc w:val="center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Akapitzlist"/>
              <w:widowControl w:val="0"/>
              <w:ind w:left="58"/>
              <w:rPr>
                <w:b/>
              </w:rPr>
            </w:pPr>
            <w:r>
              <w:rPr>
                <w:b/>
              </w:rPr>
              <w:t>Literatura podstawowa</w:t>
            </w:r>
          </w:p>
          <w:p w:rsidR="00510B8D" w:rsidRDefault="00611059">
            <w:pPr>
              <w:pStyle w:val="ListaSylabus"/>
              <w:numPr>
                <w:ilvl w:val="0"/>
                <w:numId w:val="23"/>
              </w:numPr>
              <w:ind w:left="397" w:hanging="284"/>
            </w:pPr>
            <w:r>
              <w:t xml:space="preserve">Łuków P., </w:t>
            </w:r>
            <w:proofErr w:type="spellStart"/>
            <w:r>
              <w:t>Pasierski</w:t>
            </w:r>
            <w:proofErr w:type="spellEnd"/>
            <w:r>
              <w:t xml:space="preserve"> T. 2013. Etyka medyczna z elementami filozofii. Warszawa: PZWL.</w:t>
            </w:r>
          </w:p>
          <w:p w:rsidR="00510B8D" w:rsidRDefault="00611059">
            <w:pPr>
              <w:pStyle w:val="ListaSylabus"/>
            </w:pPr>
            <w:r>
              <w:t>Basińska, Halasz J. 2014. Etyka w medycynie wczoraj i dziś. Warszawa: Impuls.</w:t>
            </w:r>
          </w:p>
          <w:p w:rsidR="00510B8D" w:rsidRDefault="00611059">
            <w:pPr>
              <w:pStyle w:val="ListaSylabus"/>
            </w:pPr>
            <w:r>
              <w:t>Brzeziński T. 2012. Etyka lekarska. Warszawa: PZWL. (dostępne w Internecie)</w:t>
            </w:r>
          </w:p>
          <w:p w:rsidR="00510B8D" w:rsidRDefault="00611059">
            <w:pPr>
              <w:pStyle w:val="ListaSylabus"/>
            </w:pPr>
            <w:r>
              <w:t>Szewczyk K. 2009. Bioetyka. Pacjent w systemie opieki zdrowotnej. Warszawa: Wydawnictwo Naukowe PWN.</w:t>
            </w:r>
          </w:p>
          <w:p w:rsidR="00510B8D" w:rsidRDefault="00510B8D">
            <w:pPr>
              <w:pStyle w:val="ListaSylabus"/>
              <w:numPr>
                <w:ilvl w:val="0"/>
                <w:numId w:val="0"/>
              </w:numPr>
              <w:ind w:left="113"/>
            </w:pPr>
          </w:p>
          <w:p w:rsidR="00510B8D" w:rsidRDefault="00611059">
            <w:pPr>
              <w:pStyle w:val="Akapitzlist"/>
              <w:widowControl w:val="0"/>
              <w:spacing w:before="120"/>
              <w:ind w:left="57"/>
              <w:rPr>
                <w:b/>
              </w:rPr>
            </w:pPr>
            <w:r>
              <w:rPr>
                <w:b/>
              </w:rPr>
              <w:t>Literatura uzupełniająca</w:t>
            </w:r>
          </w:p>
          <w:p w:rsidR="00510B8D" w:rsidRDefault="00611059">
            <w:pPr>
              <w:pStyle w:val="ListaSylabus"/>
              <w:numPr>
                <w:ilvl w:val="0"/>
                <w:numId w:val="24"/>
              </w:numPr>
              <w:ind w:left="397" w:hanging="284"/>
            </w:pPr>
            <w:proofErr w:type="spellStart"/>
            <w:r>
              <w:t>Galewicz</w:t>
            </w:r>
            <w:proofErr w:type="spellEnd"/>
            <w:r>
              <w:t xml:space="preserve"> W. 2013. Status ludzkiego zarodka a etyka badań biomedycznych. Kraków: Wydawnictwo UJ.</w:t>
            </w:r>
          </w:p>
          <w:p w:rsidR="00510B8D" w:rsidRDefault="00611059">
            <w:pPr>
              <w:pStyle w:val="ListaSylabus"/>
              <w:numPr>
                <w:ilvl w:val="0"/>
                <w:numId w:val="25"/>
              </w:numPr>
              <w:ind w:left="397" w:hanging="284"/>
            </w:pPr>
            <w:r>
              <w:t>Sytnik-Czetwertyński J. 2018, Etos o filozofii i etyce - dla lekarzy. Warszawa: Wydawnictwo Naukowe PWN.</w:t>
            </w:r>
          </w:p>
          <w:p w:rsidR="00510B8D" w:rsidRDefault="00510B8D">
            <w:pPr>
              <w:pStyle w:val="ListaSylabus"/>
              <w:numPr>
                <w:ilvl w:val="0"/>
                <w:numId w:val="0"/>
              </w:numPr>
              <w:ind w:left="397"/>
            </w:pPr>
          </w:p>
        </w:tc>
      </w:tr>
    </w:tbl>
    <w:p w:rsidR="00510B8D" w:rsidRDefault="00611059">
      <w:r>
        <w:br w:type="page"/>
      </w:r>
    </w:p>
    <w:tbl>
      <w:tblPr>
        <w:tblW w:w="10779" w:type="dxa"/>
        <w:jc w:val="center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5680"/>
        <w:gridCol w:w="1701"/>
        <w:gridCol w:w="3398"/>
      </w:tblGrid>
      <w:tr w:rsidR="00510B8D" w:rsidTr="00E75385">
        <w:trPr>
          <w:trHeight w:val="334"/>
          <w:jc w:val="center"/>
        </w:trPr>
        <w:tc>
          <w:tcPr>
            <w:tcW w:w="1077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pageBreakBefore/>
              <w:widowControl w:val="0"/>
              <w:jc w:val="center"/>
              <w:rPr>
                <w:szCs w:val="22"/>
              </w:rPr>
            </w:pPr>
            <w:bookmarkStart w:id="11" w:name="ECTS"/>
            <w:bookmarkEnd w:id="11"/>
            <w:r>
              <w:rPr>
                <w:rFonts w:eastAsia="Calibri"/>
                <w:b/>
                <w:szCs w:val="22"/>
              </w:rPr>
              <w:lastRenderedPageBreak/>
              <w:t>Nakład pracy studenta potrzebny do osiągnięcia zakładanych efektów uczenia się – bilans punktów ECTS</w:t>
            </w:r>
          </w:p>
        </w:tc>
      </w:tr>
      <w:tr w:rsidR="00510B8D" w:rsidTr="00E75385">
        <w:trPr>
          <w:trHeight w:val="340"/>
          <w:jc w:val="center"/>
        </w:trPr>
        <w:tc>
          <w:tcPr>
            <w:tcW w:w="5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</w:rPr>
              <w:t>Udział w zajęciach, aktywność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E75385" w:rsidTr="00E75385">
        <w:trPr>
          <w:trHeight w:val="340"/>
          <w:jc w:val="center"/>
        </w:trPr>
        <w:tc>
          <w:tcPr>
            <w:tcW w:w="5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5" w:rsidRDefault="00E75385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5" w:rsidRDefault="00E75385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Praca własna studenta: zajęcia bez nauczyciela</w:t>
            </w:r>
          </w:p>
          <w:p w:rsidR="00E75385" w:rsidRDefault="00E75385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5" w:rsidRDefault="00E75385">
            <w:pPr>
              <w:pStyle w:val="Standard"/>
              <w:widowControl w:val="0"/>
              <w:jc w:val="center"/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E75385" w:rsidTr="00E75385">
        <w:trPr>
          <w:trHeight w:val="340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5" w:rsidRDefault="00E75385">
            <w:pPr>
              <w:pStyle w:val="OpisSyl"/>
            </w:pPr>
            <w:r>
              <w:t>Udział w wykładach</w:t>
            </w:r>
            <w:r>
              <w:rPr>
                <w:vertAlign w:val="superscript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5385" w:rsidRDefault="00E75385">
            <w:pPr>
              <w:pStyle w:val="ECTS"/>
            </w:pPr>
            <w:r>
              <w:t>-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5385" w:rsidRDefault="00E75385">
            <w:pPr>
              <w:pStyle w:val="ECTS"/>
            </w:pPr>
            <w:r>
              <w:t>15 h</w:t>
            </w:r>
          </w:p>
        </w:tc>
      </w:tr>
      <w:tr w:rsidR="00E75385" w:rsidTr="00E75385">
        <w:trPr>
          <w:trHeight w:val="340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5" w:rsidRDefault="00E75385">
            <w:pPr>
              <w:pStyle w:val="OpisSyl"/>
            </w:pPr>
            <w:r>
              <w:t>Udział w seminariach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5385" w:rsidRDefault="00E75385">
            <w:pPr>
              <w:pStyle w:val="ECTS"/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5385" w:rsidRDefault="00E75385">
            <w:pPr>
              <w:pStyle w:val="ECTS"/>
            </w:pPr>
            <w:r>
              <w:t>15 h</w:t>
            </w:r>
          </w:p>
        </w:tc>
      </w:tr>
      <w:tr w:rsidR="00E75385" w:rsidTr="00E75385">
        <w:trPr>
          <w:trHeight w:val="512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385" w:rsidRDefault="00E75385">
            <w:pPr>
              <w:pStyle w:val="OpisSyl"/>
            </w:pPr>
            <w:r>
              <w:t>Przygotowanie się do wykładów/ćwiczeń/seminariów/</w:t>
            </w:r>
          </w:p>
          <w:p w:rsidR="00E75385" w:rsidRDefault="00E75385">
            <w:pPr>
              <w:pStyle w:val="OpisSyl"/>
            </w:pPr>
            <w:r>
              <w:t>Przygotowanie do zaliczenia/egzaminu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5385" w:rsidRDefault="00E75385">
            <w:pPr>
              <w:pStyle w:val="ECTS"/>
            </w:pPr>
            <w:r>
              <w:t>30 h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5385" w:rsidRDefault="00E75385">
            <w:pPr>
              <w:pStyle w:val="ECTS"/>
            </w:pPr>
            <w:r>
              <w:t>-</w:t>
            </w:r>
          </w:p>
        </w:tc>
      </w:tr>
      <w:tr w:rsidR="00E75385" w:rsidTr="00E75385">
        <w:trPr>
          <w:trHeight w:val="227"/>
          <w:jc w:val="center"/>
        </w:trPr>
        <w:tc>
          <w:tcPr>
            <w:tcW w:w="5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385" w:rsidRDefault="00E75385">
            <w:pPr>
              <w:pStyle w:val="OpisSyl"/>
            </w:pPr>
            <w:r>
              <w:t>Sumaryczne obciążenie pracą studenta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bottom"/>
          </w:tcPr>
          <w:p w:rsidR="00E75385" w:rsidRDefault="00E75385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30 h/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bottom"/>
          </w:tcPr>
          <w:p w:rsidR="00E75385" w:rsidRDefault="00E75385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=SUM(ABOVE)</w:instrTex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30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h/</w:t>
            </w:r>
          </w:p>
        </w:tc>
      </w:tr>
      <w:tr w:rsidR="00E75385" w:rsidTr="00E75385">
        <w:trPr>
          <w:trHeight w:val="29"/>
          <w:jc w:val="center"/>
        </w:trPr>
        <w:tc>
          <w:tcPr>
            <w:tcW w:w="56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75385" w:rsidRDefault="00E75385">
            <w:pPr>
              <w:pStyle w:val="OpisSyl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75385" w:rsidRDefault="00E75385">
            <w:pPr>
              <w:pStyle w:val="Standard"/>
              <w:widowControl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 ECTS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75385" w:rsidRDefault="00E75385">
            <w:pPr>
              <w:pStyle w:val="Standard"/>
              <w:widowControl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1,0 ECTS</w:t>
            </w:r>
          </w:p>
        </w:tc>
      </w:tr>
      <w:tr w:rsidR="00510B8D" w:rsidTr="00E75385">
        <w:trPr>
          <w:trHeight w:val="29"/>
          <w:jc w:val="center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B8D" w:rsidRDefault="00611059">
            <w:pPr>
              <w:pStyle w:val="OpisSyl"/>
            </w:pPr>
            <w:r>
              <w:t>Punkty ECTS za przedmiot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10B8D" w:rsidRDefault="00F51418">
            <w:pPr>
              <w:pStyle w:val="Standard"/>
              <w:widowControl w:val="0"/>
              <w:jc w:val="center"/>
            </w:pPr>
            <w:r>
              <w:rPr>
                <w:rFonts w:eastAsia="Calibri"/>
                <w:b/>
                <w:lang w:eastAsia="en-US"/>
              </w:rPr>
              <w:t>2</w:t>
            </w:r>
            <w:r w:rsidR="00611059">
              <w:rPr>
                <w:rFonts w:eastAsia="Calibri"/>
                <w:b/>
                <w:lang w:eastAsia="en-US"/>
              </w:rPr>
              <w:t xml:space="preserve"> ECTS</w:t>
            </w:r>
            <w:r w:rsidR="00611059">
              <w:rPr>
                <w:rFonts w:eastAsia="Calibri"/>
                <w:b/>
                <w:vertAlign w:val="superscript"/>
                <w:lang w:eastAsia="en-US"/>
              </w:rPr>
              <w:t>10</w:t>
            </w:r>
          </w:p>
        </w:tc>
      </w:tr>
      <w:tr w:rsidR="00510B8D" w:rsidTr="00E75385">
        <w:trPr>
          <w:trHeight w:hRule="exact" w:val="505"/>
          <w:jc w:val="center"/>
        </w:trPr>
        <w:tc>
          <w:tcPr>
            <w:tcW w:w="1077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B8D" w:rsidRDefault="00510B8D">
            <w:pPr>
              <w:pStyle w:val="Standard"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510B8D" w:rsidTr="00E75385">
        <w:trPr>
          <w:trHeight w:val="445"/>
          <w:jc w:val="center"/>
        </w:trPr>
        <w:tc>
          <w:tcPr>
            <w:tcW w:w="10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jc w:val="center"/>
              <w:rPr>
                <w:szCs w:val="22"/>
              </w:rPr>
            </w:pPr>
            <w:bookmarkStart w:id="12" w:name="_OBJAśNIENIA"/>
            <w:bookmarkEnd w:id="12"/>
            <w:r>
              <w:rPr>
                <w:rFonts w:eastAsia="Calibri"/>
                <w:b/>
                <w:szCs w:val="22"/>
              </w:rPr>
              <w:t>Informacje dodatkowe, uwagi</w:t>
            </w:r>
          </w:p>
        </w:tc>
      </w:tr>
      <w:tr w:rsidR="00510B8D" w:rsidTr="00E75385">
        <w:trPr>
          <w:trHeight w:val="645"/>
          <w:jc w:val="center"/>
        </w:trPr>
        <w:tc>
          <w:tcPr>
            <w:tcW w:w="10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B8D" w:rsidRDefault="00611059">
            <w:pPr>
              <w:pStyle w:val="Standard"/>
              <w:widowControl w:val="0"/>
              <w:rPr>
                <w:rFonts w:eastAsia="Calibri"/>
                <w:i/>
                <w:color w:val="C00000"/>
                <w:sz w:val="20"/>
                <w:szCs w:val="20"/>
              </w:rPr>
            </w:pPr>
            <w:r>
              <w:rPr>
                <w:rFonts w:eastAsia="Calibri"/>
                <w:i/>
                <w:color w:val="1D1B11" w:themeColor="background2" w:themeShade="1A"/>
                <w:sz w:val="20"/>
                <w:szCs w:val="20"/>
              </w:rPr>
              <w:t>Z wykładowcą prowadzącym przedmiot można kontaktować się: z.jezierski@uthrad.pl</w:t>
            </w:r>
          </w:p>
        </w:tc>
      </w:tr>
    </w:tbl>
    <w:p w:rsidR="00510B8D" w:rsidRDefault="00510B8D" w:rsidP="00362D56"/>
    <w:sectPr w:rsidR="00510B8D">
      <w:pgSz w:w="11906" w:h="16838"/>
      <w:pgMar w:top="567" w:right="567" w:bottom="567" w:left="567" w:header="0" w:footer="0" w:gutter="0"/>
      <w:pgNumType w:start="22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461C"/>
    <w:multiLevelType w:val="multilevel"/>
    <w:tmpl w:val="EA267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5C09CD"/>
    <w:multiLevelType w:val="multilevel"/>
    <w:tmpl w:val="7152CDCC"/>
    <w:lvl w:ilvl="0">
      <w:start w:val="1"/>
      <w:numFmt w:val="bullet"/>
      <w:pStyle w:val="PunktorySylabus"/>
      <w:lvlText w:val="•"/>
      <w:lvlJc w:val="left"/>
      <w:pPr>
        <w:tabs>
          <w:tab w:val="num" w:pos="0"/>
        </w:tabs>
        <w:ind w:left="899" w:hanging="360"/>
      </w:pPr>
      <w:rPr>
        <w:rFonts w:ascii="Times New Roman" w:hAnsi="Times New Roman" w:cs="Times New Roman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2" w15:restartNumberingAfterBreak="0">
    <w:nsid w:val="3510713C"/>
    <w:multiLevelType w:val="multilevel"/>
    <w:tmpl w:val="9BCC670C"/>
    <w:lvl w:ilvl="0">
      <w:start w:val="1"/>
      <w:numFmt w:val="decimal"/>
      <w:lvlText w:val="%1."/>
      <w:lvlJc w:val="left"/>
      <w:pPr>
        <w:tabs>
          <w:tab w:val="num" w:pos="0"/>
        </w:tabs>
        <w:ind w:left="8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3" w:hanging="180"/>
      </w:pPr>
    </w:lvl>
  </w:abstractNum>
  <w:abstractNum w:abstractNumId="3" w15:restartNumberingAfterBreak="0">
    <w:nsid w:val="4203269D"/>
    <w:multiLevelType w:val="multilevel"/>
    <w:tmpl w:val="324C126A"/>
    <w:lvl w:ilvl="0">
      <w:start w:val="1"/>
      <w:numFmt w:val="decimal"/>
      <w:lvlText w:val="%1."/>
      <w:lvlJc w:val="left"/>
      <w:pPr>
        <w:tabs>
          <w:tab w:val="num" w:pos="0"/>
        </w:tabs>
        <w:ind w:left="8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3" w:hanging="180"/>
      </w:pPr>
    </w:lvl>
  </w:abstractNum>
  <w:abstractNum w:abstractNumId="4" w15:restartNumberingAfterBreak="0">
    <w:nsid w:val="4782094D"/>
    <w:multiLevelType w:val="multilevel"/>
    <w:tmpl w:val="20BE8F8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5" w15:restartNumberingAfterBreak="0">
    <w:nsid w:val="4A32194D"/>
    <w:multiLevelType w:val="multilevel"/>
    <w:tmpl w:val="83606200"/>
    <w:lvl w:ilvl="0">
      <w:start w:val="1"/>
      <w:numFmt w:val="decimal"/>
      <w:pStyle w:val="Listatytuly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" w15:restartNumberingAfterBreak="0">
    <w:nsid w:val="4CA7745C"/>
    <w:multiLevelType w:val="multilevel"/>
    <w:tmpl w:val="5D3AE3E6"/>
    <w:lvl w:ilvl="0">
      <w:start w:val="1"/>
      <w:numFmt w:val="bullet"/>
      <w:lvlText w:val="•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DBF5340"/>
    <w:multiLevelType w:val="multilevel"/>
    <w:tmpl w:val="1D0EF20E"/>
    <w:lvl w:ilvl="0">
      <w:start w:val="1"/>
      <w:numFmt w:val="bullet"/>
      <w:lvlText w:val="•"/>
      <w:lvlJc w:val="left"/>
      <w:pPr>
        <w:tabs>
          <w:tab w:val="num" w:pos="0"/>
        </w:tabs>
        <w:ind w:left="947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0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160CD9"/>
    <w:multiLevelType w:val="multilevel"/>
    <w:tmpl w:val="15D2638E"/>
    <w:lvl w:ilvl="0">
      <w:start w:val="1"/>
      <w:numFmt w:val="decimal"/>
      <w:lvlText w:val="%1."/>
      <w:lvlJc w:val="left"/>
      <w:pPr>
        <w:tabs>
          <w:tab w:val="num" w:pos="0"/>
        </w:tabs>
        <w:ind w:left="8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3" w:hanging="180"/>
      </w:pPr>
    </w:lvl>
  </w:abstractNum>
  <w:abstractNum w:abstractNumId="9" w15:restartNumberingAfterBreak="0">
    <w:nsid w:val="51184193"/>
    <w:multiLevelType w:val="multilevel"/>
    <w:tmpl w:val="DF928F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2845C3C"/>
    <w:multiLevelType w:val="multilevel"/>
    <w:tmpl w:val="623629DE"/>
    <w:lvl w:ilvl="0">
      <w:start w:val="1"/>
      <w:numFmt w:val="decimal"/>
      <w:lvlText w:val="%1."/>
      <w:lvlJc w:val="left"/>
      <w:pPr>
        <w:tabs>
          <w:tab w:val="num" w:pos="0"/>
        </w:tabs>
        <w:ind w:left="8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3" w:hanging="180"/>
      </w:pPr>
    </w:lvl>
  </w:abstractNum>
  <w:abstractNum w:abstractNumId="11" w15:restartNumberingAfterBreak="0">
    <w:nsid w:val="6693692F"/>
    <w:multiLevelType w:val="multilevel"/>
    <w:tmpl w:val="EDC65B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70677DB1"/>
    <w:multiLevelType w:val="multilevel"/>
    <w:tmpl w:val="786ADDF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13" w15:restartNumberingAfterBreak="0">
    <w:nsid w:val="7FFC388E"/>
    <w:multiLevelType w:val="multilevel"/>
    <w:tmpl w:val="B8C268D0"/>
    <w:lvl w:ilvl="0">
      <w:start w:val="1"/>
      <w:numFmt w:val="decimal"/>
      <w:pStyle w:val="ListaSylabus"/>
      <w:lvlText w:val="%1."/>
      <w:lvlJc w:val="left"/>
      <w:pPr>
        <w:tabs>
          <w:tab w:val="num" w:pos="0"/>
        </w:tabs>
        <w:ind w:left="8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3" w:hanging="180"/>
      </w:p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13"/>
  </w:num>
  <w:num w:numId="10">
    <w:abstractNumId w:val="2"/>
  </w:num>
  <w:num w:numId="11">
    <w:abstractNumId w:val="8"/>
  </w:num>
  <w:num w:numId="12">
    <w:abstractNumId w:val="10"/>
  </w:num>
  <w:num w:numId="13">
    <w:abstractNumId w:val="3"/>
  </w:num>
  <w:num w:numId="14">
    <w:abstractNumId w:val="11"/>
  </w:num>
  <w:num w:numId="15">
    <w:abstractNumId w:val="13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9"/>
  </w:num>
  <w:num w:numId="20">
    <w:abstractNumId w:val="9"/>
    <w:lvlOverride w:ilvl="0">
      <w:startOverride w:val="1"/>
    </w:lvlOverride>
  </w:num>
  <w:num w:numId="21">
    <w:abstractNumId w:val="9"/>
  </w:num>
  <w:num w:numId="22">
    <w:abstractNumId w:val="9"/>
  </w:num>
  <w:num w:numId="23">
    <w:abstractNumId w:val="13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3"/>
  </w:num>
  <w:num w:numId="26">
    <w:abstractNumId w:val="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8D"/>
    <w:rsid w:val="00362D56"/>
    <w:rsid w:val="00510B8D"/>
    <w:rsid w:val="00611059"/>
    <w:rsid w:val="00DB215A"/>
    <w:rsid w:val="00DD2C1F"/>
    <w:rsid w:val="00E75385"/>
    <w:rsid w:val="00F5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A4F8"/>
  <w15:docId w15:val="{BACC4B6F-47F2-4265-B670-6B458157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keepLines/>
      <w:jc w:val="center"/>
      <w:outlineLvl w:val="0"/>
    </w:pPr>
    <w:rPr>
      <w:rFonts w:eastAsia="F" w:cs="F"/>
      <w:b/>
      <w:bCs/>
      <w:caps/>
      <w:sz w:val="20"/>
      <w:szCs w:val="28"/>
    </w:rPr>
  </w:style>
  <w:style w:type="paragraph" w:styleId="Nagwek2">
    <w:name w:val="heading 2"/>
    <w:basedOn w:val="Standard"/>
    <w:next w:val="Standard"/>
    <w:qFormat/>
    <w:pPr>
      <w:keepNext/>
      <w:keepLines/>
      <w:spacing w:before="120" w:after="120"/>
      <w:outlineLvl w:val="1"/>
    </w:pPr>
    <w:rPr>
      <w:rFonts w:eastAsia="F" w:cs="F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qFormat/>
    <w:rPr>
      <w:rFonts w:ascii="Times New Roman" w:hAnsi="Times New Roman"/>
      <w:color w:val="auto"/>
      <w:sz w:val="20"/>
      <w:u w:val="none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Nagwek1Znak">
    <w:name w:val="Nagłówek 1 Znak"/>
    <w:basedOn w:val="Domylnaczcionkaakapitu"/>
    <w:qFormat/>
    <w:rPr>
      <w:rFonts w:ascii="Times New Roman" w:eastAsia="F" w:hAnsi="Times New Roman" w:cs="F"/>
      <w:b/>
      <w:bCs/>
      <w:caps/>
      <w:sz w:val="20"/>
      <w:szCs w:val="28"/>
      <w:lang w:eastAsia="pl-PL"/>
    </w:rPr>
  </w:style>
  <w:style w:type="character" w:customStyle="1" w:styleId="VisitedInternetLink">
    <w:name w:val="Visited Internet Link"/>
    <w:basedOn w:val="Domylnaczcionkaakapitu"/>
    <w:qFormat/>
    <w:rPr>
      <w:color w:val="800080"/>
      <w:u w:val="single"/>
    </w:rPr>
  </w:style>
  <w:style w:type="character" w:customStyle="1" w:styleId="Nagwek2Znak">
    <w:name w:val="Nagłówek 2 Znak"/>
    <w:basedOn w:val="Domylnaczcionkaakapitu"/>
    <w:qFormat/>
    <w:rPr>
      <w:rFonts w:ascii="Times New Roman" w:eastAsia="F" w:hAnsi="Times New Roman" w:cs="F"/>
      <w:b/>
      <w:bCs/>
      <w:szCs w:val="26"/>
      <w:lang w:eastAsia="pl-PL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D505C"/>
    <w:rPr>
      <w:color w:val="0000FF" w:themeColor="hyperlink"/>
      <w:u w:val="single"/>
    </w:rPr>
  </w:style>
  <w:style w:type="character" w:customStyle="1" w:styleId="ListaSylabusZnak">
    <w:name w:val="ListaSylabus Znak"/>
    <w:basedOn w:val="Domylnaczcionkaakapitu"/>
    <w:link w:val="ListaSylabus"/>
    <w:qFormat/>
    <w:rsid w:val="00C232BA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Tekst2SylabusZnak">
    <w:name w:val="Tekst2Sylabus Znak"/>
    <w:basedOn w:val="Domylnaczcionkaakapitu"/>
    <w:link w:val="Tekst2Sylabus"/>
    <w:qFormat/>
    <w:rsid w:val="00C20E27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PunktorySylabusZnak">
    <w:name w:val="PunktorySylabus Znak"/>
    <w:basedOn w:val="Domylnaczcionkaakapitu"/>
    <w:link w:val="PunktorySylabus"/>
    <w:qFormat/>
    <w:rsid w:val="00C20E27"/>
    <w:rPr>
      <w:rFonts w:ascii="Times New Roman" w:hAnsi="Times New Roman" w:cs="Times New Roman"/>
      <w:i/>
      <w:sz w:val="20"/>
      <w:szCs w:val="20"/>
    </w:rPr>
  </w:style>
  <w:style w:type="character" w:customStyle="1" w:styleId="TextSylabusBoldZnak">
    <w:name w:val="TextSylabusBold Znak"/>
    <w:basedOn w:val="Domylnaczcionkaakapitu"/>
    <w:link w:val="TextSylabusBold"/>
    <w:qFormat/>
    <w:rsid w:val="00C20E2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TextSylSrodZnak">
    <w:name w:val="TextSylSrod Znak"/>
    <w:basedOn w:val="Domylnaczcionkaakapitu"/>
    <w:link w:val="TextSylSrod"/>
    <w:qFormat/>
    <w:rsid w:val="00C20E27"/>
    <w:rPr>
      <w:rFonts w:ascii="Times New Roman" w:hAnsi="Times New Roman" w:cs="Times New Roman"/>
      <w:i/>
      <w:sz w:val="20"/>
      <w:szCs w:val="20"/>
    </w:rPr>
  </w:style>
  <w:style w:type="character" w:customStyle="1" w:styleId="ECTSZnak">
    <w:name w:val="ECTS Znak"/>
    <w:basedOn w:val="Domylnaczcionkaakapitu"/>
    <w:link w:val="ECTS"/>
    <w:qFormat/>
    <w:rsid w:val="00C20E27"/>
    <w:rPr>
      <w:rFonts w:ascii="Times New Roman" w:hAnsi="Times New Roman" w:cs="Times New Roman"/>
      <w:bCs/>
      <w:sz w:val="20"/>
      <w:szCs w:val="24"/>
      <w:lang w:eastAsia="pl-PL"/>
    </w:rPr>
  </w:style>
  <w:style w:type="character" w:customStyle="1" w:styleId="OpisSylZnak">
    <w:name w:val="OpisSyl Znak"/>
    <w:basedOn w:val="Domylnaczcionkaakapitu"/>
    <w:link w:val="OpisSyl"/>
    <w:qFormat/>
    <w:rsid w:val="00C20E27"/>
    <w:rPr>
      <w:rFonts w:ascii="Times New Roman" w:hAnsi="Times New Roman" w:cs="Times New Roman"/>
      <w:b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20E27"/>
    <w:rPr>
      <w:rFonts w:ascii="Times New Roman" w:hAnsi="Times New Roman"/>
      <w:i/>
      <w:color w:val="C00000"/>
      <w:sz w:val="20"/>
    </w:rPr>
  </w:style>
  <w:style w:type="character" w:customStyle="1" w:styleId="TabelaopisZnak">
    <w:name w:val="Tabela opis Znak"/>
    <w:basedOn w:val="Domylnaczcionkaakapitu"/>
    <w:link w:val="Tabelaopis"/>
    <w:qFormat/>
    <w:rsid w:val="00D44812"/>
    <w:rPr>
      <w:rFonts w:ascii="Times New Roman" w:hAnsi="Times New Roman" w:cs="Times New Roman"/>
      <w:i/>
      <w:sz w:val="20"/>
      <w:szCs w:val="20"/>
    </w:rPr>
  </w:style>
  <w:style w:type="character" w:customStyle="1" w:styleId="ObjasnieniaZnak">
    <w:name w:val="Objasnienia Znak"/>
    <w:basedOn w:val="Domylnaczcionkaakapitu"/>
    <w:link w:val="Objasnienia"/>
    <w:qFormat/>
    <w:rsid w:val="00F60C24"/>
    <w:rPr>
      <w:rFonts w:ascii="Times New Roman" w:eastAsia="Times New Roman" w:hAnsi="Times New Roman" w:cs="Times New Roman"/>
      <w:lang w:eastAsia="pl-PL"/>
    </w:rPr>
  </w:style>
  <w:style w:type="character" w:customStyle="1" w:styleId="ListatytulyZnak">
    <w:name w:val="Lista tytuly Znak"/>
    <w:basedOn w:val="Domylnaczcionkaakapitu"/>
    <w:link w:val="Listatytuly"/>
    <w:qFormat/>
    <w:rsid w:val="00C232BA"/>
    <w:rPr>
      <w:rFonts w:ascii="Times New Roman" w:hAnsi="Times New Roman" w:cs="Times New Roman"/>
      <w:b/>
      <w:i/>
      <w:color w:val="000000" w:themeColor="text1"/>
      <w:sz w:val="20"/>
      <w:szCs w:val="20"/>
      <w:lang w:eastAsia="pl-P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Standard"/>
    <w:qFormat/>
    <w:rPr>
      <w:rFonts w:ascii="Tahoma" w:hAnsi="Tahoma" w:cs="Tahoma"/>
      <w:sz w:val="16"/>
      <w:szCs w:val="16"/>
    </w:rPr>
  </w:style>
  <w:style w:type="paragraph" w:customStyle="1" w:styleId="Endnote">
    <w:name w:val="Endnote"/>
    <w:basedOn w:val="Standard"/>
    <w:qFormat/>
    <w:rPr>
      <w:sz w:val="20"/>
      <w:szCs w:val="20"/>
    </w:rPr>
  </w:style>
  <w:style w:type="paragraph" w:styleId="Tekstkomentarza">
    <w:name w:val="annotation text"/>
    <w:basedOn w:val="Standard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ListaSylabus">
    <w:name w:val="ListaSylabus"/>
    <w:link w:val="ListaSylabusZnak"/>
    <w:qFormat/>
    <w:rsid w:val="00C232BA"/>
    <w:pPr>
      <w:widowControl w:val="0"/>
      <w:numPr>
        <w:numId w:val="9"/>
      </w:numPr>
      <w:spacing w:before="60" w:after="60"/>
      <w:ind w:left="397" w:hanging="284"/>
      <w:textAlignment w:val="baseline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customStyle="1" w:styleId="TekstSylabus">
    <w:name w:val="TekstSylabus"/>
    <w:qFormat/>
    <w:rsid w:val="00C20E27"/>
    <w:pPr>
      <w:widowControl w:val="0"/>
      <w:tabs>
        <w:tab w:val="left" w:pos="4583"/>
      </w:tabs>
      <w:spacing w:before="60"/>
      <w:ind w:left="57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Tekst2Sylabus">
    <w:name w:val="Tekst2Sylabus"/>
    <w:link w:val="Tekst2SylabusZnak"/>
    <w:qFormat/>
    <w:rsid w:val="00C20E27"/>
    <w:pPr>
      <w:widowControl w:val="0"/>
      <w:ind w:left="397"/>
      <w:textAlignment w:val="baseline"/>
    </w:pPr>
    <w:rPr>
      <w:rFonts w:ascii="Times New Roman" w:hAnsi="Times New Roman" w:cs="Times New Roman"/>
      <w:i/>
      <w:sz w:val="20"/>
      <w:szCs w:val="20"/>
      <w:lang w:eastAsia="pl-PL"/>
    </w:rPr>
  </w:style>
  <w:style w:type="paragraph" w:customStyle="1" w:styleId="PunktorySylabus">
    <w:name w:val="PunktorySylabus"/>
    <w:link w:val="PunktorySylabusZnak"/>
    <w:qFormat/>
    <w:rsid w:val="00C20E27"/>
    <w:pPr>
      <w:widowControl w:val="0"/>
      <w:numPr>
        <w:numId w:val="2"/>
      </w:numPr>
      <w:ind w:left="737" w:hanging="170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TextSylabusBold">
    <w:name w:val="TextSylabusBold"/>
    <w:next w:val="TekstSylabus"/>
    <w:link w:val="TextSylabusBoldZnak"/>
    <w:qFormat/>
    <w:rsid w:val="00C20E27"/>
    <w:pPr>
      <w:widowControl w:val="0"/>
      <w:tabs>
        <w:tab w:val="left" w:pos="4073"/>
      </w:tabs>
      <w:spacing w:before="120" w:after="120"/>
      <w:ind w:left="57"/>
      <w:textAlignment w:val="baseline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TextSylSrod">
    <w:name w:val="TextSylSrod"/>
    <w:link w:val="TextSylSrodZnak"/>
    <w:qFormat/>
    <w:rsid w:val="00C20E27"/>
    <w:pPr>
      <w:widowControl w:val="0"/>
      <w:jc w:val="center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ECTS">
    <w:name w:val="ECTS"/>
    <w:link w:val="ECTSZnak"/>
    <w:qFormat/>
    <w:rsid w:val="00C20E27"/>
    <w:pPr>
      <w:widowControl w:val="0"/>
      <w:jc w:val="center"/>
      <w:textAlignment w:val="baseline"/>
    </w:pPr>
    <w:rPr>
      <w:rFonts w:ascii="Times New Roman" w:hAnsi="Times New Roman" w:cs="Times New Roman"/>
      <w:bCs/>
      <w:sz w:val="20"/>
      <w:szCs w:val="24"/>
      <w:lang w:eastAsia="pl-PL"/>
    </w:rPr>
  </w:style>
  <w:style w:type="paragraph" w:customStyle="1" w:styleId="OpisSyl">
    <w:name w:val="OpisSyl"/>
    <w:link w:val="OpisSylZnak"/>
    <w:qFormat/>
    <w:rsid w:val="00C20E27"/>
    <w:pPr>
      <w:widowControl w:val="0"/>
      <w:ind w:left="57"/>
      <w:textAlignment w:val="baseline"/>
    </w:pPr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next w:val="TekstSylabus"/>
    <w:link w:val="BezodstpwZnak"/>
    <w:uiPriority w:val="1"/>
    <w:qFormat/>
    <w:rsid w:val="00C20E27"/>
    <w:pPr>
      <w:widowControl w:val="0"/>
      <w:ind w:left="57"/>
      <w:textAlignment w:val="baseline"/>
    </w:pPr>
    <w:rPr>
      <w:rFonts w:ascii="Times New Roman" w:hAnsi="Times New Roman"/>
      <w:i/>
      <w:color w:val="C00000"/>
      <w:sz w:val="20"/>
    </w:rPr>
  </w:style>
  <w:style w:type="paragraph" w:customStyle="1" w:styleId="Tabelaopis">
    <w:name w:val="Tabela opis"/>
    <w:link w:val="TabelaopisZnak"/>
    <w:qFormat/>
    <w:rsid w:val="00D44812"/>
    <w:pPr>
      <w:widowControl w:val="0"/>
      <w:spacing w:before="20"/>
      <w:textAlignment w:val="baseline"/>
    </w:pPr>
    <w:rPr>
      <w:rFonts w:ascii="Times New Roman" w:hAnsi="Times New Roman" w:cs="Times New Roman"/>
      <w:i/>
      <w:sz w:val="20"/>
      <w:szCs w:val="20"/>
    </w:rPr>
  </w:style>
  <w:style w:type="paragraph" w:customStyle="1" w:styleId="Objasnienia">
    <w:name w:val="Objasnienia"/>
    <w:link w:val="ObjasnieniaZnak"/>
    <w:qFormat/>
    <w:rsid w:val="00F60C24"/>
    <w:pPr>
      <w:widowControl w:val="0"/>
      <w:spacing w:after="240"/>
      <w:ind w:left="227"/>
      <w:jc w:val="both"/>
      <w:textAlignment w:val="baseline"/>
    </w:pPr>
    <w:rPr>
      <w:rFonts w:ascii="Times New Roman" w:eastAsia="Times New Roman" w:hAnsi="Times New Roman" w:cs="Times New Roman"/>
      <w:lang w:eastAsia="pl-PL"/>
    </w:rPr>
  </w:style>
  <w:style w:type="paragraph" w:customStyle="1" w:styleId="Listatytuly">
    <w:name w:val="Lista tytuly"/>
    <w:next w:val="Tekst2Sylabus"/>
    <w:link w:val="ListatytulyZnak"/>
    <w:qFormat/>
    <w:rsid w:val="00E23064"/>
    <w:pPr>
      <w:widowControl w:val="0"/>
      <w:numPr>
        <w:numId w:val="5"/>
      </w:numPr>
      <w:spacing w:before="60" w:after="60"/>
      <w:ind w:left="397" w:hanging="284"/>
      <w:textAlignment w:val="baseline"/>
    </w:pPr>
    <w:rPr>
      <w:rFonts w:ascii="Times New Roman" w:hAnsi="Times New Roman" w:cs="Times New Roman"/>
      <w:b/>
      <w:i/>
      <w:color w:val="000000" w:themeColor="text1"/>
      <w:sz w:val="20"/>
      <w:szCs w:val="20"/>
      <w:lang w:eastAsia="pl-PL"/>
    </w:rPr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5A423-29CD-401B-AC18-80DBC045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1400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e-Gene</Company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dc:description/>
  <cp:lastModifiedBy>Justyna Karaś</cp:lastModifiedBy>
  <cp:revision>2</cp:revision>
  <cp:lastPrinted>2020-09-11T19:27:00Z</cp:lastPrinted>
  <dcterms:created xsi:type="dcterms:W3CDTF">2026-07-20T13:15:00Z</dcterms:created>
  <dcterms:modified xsi:type="dcterms:W3CDTF">2026-07-20T13:15:00Z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